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2D charts</w:t>
      </w:r>
      <w:bookmarkEnd w:id="1"/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2" w:name="_Toc2"/>
      <w:r>
        <w:t>Pie</w:t>
      </w:r>
      <w:bookmarkEnd w:id="2"/>
    </w:p>
    <w:p>
      <w:r>
        <w:drawing>
          <wp:inline>
            <wp:extent cx="2286000" cy="1828800"/>
            <wp:docPr id="7" name="Chart7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/>
    <w:p>
      <w:pPr>
        <w:pStyle w:val="Heading2"/>
      </w:pPr>
      <w:bookmarkStart w:id="3" w:name="_Toc3"/>
      <w:r>
        <w:t>Doughnut</w:t>
      </w:r>
      <w:bookmarkEnd w:id="3"/>
    </w:p>
    <w:p>
      <w:r>
        <w:drawing>
          <wp:inline>
            <wp:extent cx="2286000" cy="1828800"/>
            <wp:docPr id="8" name="Chart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/>
    <w:p>
      <w:pPr>
        <w:pStyle w:val="Heading2"/>
      </w:pPr>
      <w:bookmarkStart w:id="4" w:name="_Toc4"/>
      <w:r>
        <w:t>Bar</w:t>
      </w:r>
      <w:bookmarkEnd w:id="4"/>
    </w:p>
    <w:p>
      <w:r>
        <w:drawing>
          <wp:inline>
            <wp:extent cx="2286000" cy="1828800"/>
            <wp:docPr id="9" name="Chart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/>
    <w:p>
      <w:pPr>
        <w:pStyle w:val="Heading2"/>
      </w:pPr>
      <w:bookmarkStart w:id="5" w:name="_Toc5"/>
      <w:r>
        <w:t>Column</w:t>
      </w:r>
      <w:bookmarkEnd w:id="5"/>
    </w:p>
    <w:p>
      <w:r>
        <w:drawing>
          <wp:inline>
            <wp:extent cx="2286000" cy="1828800"/>
            <wp:docPr id="10" name="Chart10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/>
    <w:p>
      <w:pPr>
        <w:pStyle w:val="Heading2"/>
      </w:pPr>
      <w:bookmarkStart w:id="6" w:name="_Toc6"/>
      <w:r>
        <w:t>Line</w:t>
      </w:r>
      <w:bookmarkEnd w:id="6"/>
    </w:p>
    <w:p>
      <w:r>
        <w:drawing>
          <wp:inline>
            <wp:extent cx="2286000" cy="1828800"/>
            <wp:docPr id="11" name="Chart11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/>
    <w:p>
      <w:pPr>
        <w:pStyle w:val="Heading2"/>
      </w:pPr>
      <w:bookmarkStart w:id="7" w:name="_Toc7"/>
      <w:r>
        <w:t>Area</w:t>
      </w:r>
      <w:bookmarkEnd w:id="7"/>
    </w:p>
    <w:p>
      <w:r>
        <w:drawing>
          <wp:inline>
            <wp:extent cx="2286000" cy="1828800"/>
            <wp:docPr id="12" name="Chart12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/>
    <w:p>
      <w:pPr>
        <w:pStyle w:val="Heading2"/>
      </w:pPr>
      <w:bookmarkStart w:id="8" w:name="_Toc8"/>
      <w:r>
        <w:t>Scatter</w:t>
      </w:r>
      <w:bookmarkEnd w:id="8"/>
    </w:p>
    <w:p>
      <w:r>
        <w:drawing>
          <wp:inline>
            <wp:extent cx="2286000" cy="1828800"/>
            <wp:docPr id="13" name="Chart13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/>
    <w:p>
      <w:pPr>
        <w:pStyle w:val="Heading2"/>
      </w:pPr>
      <w:bookmarkStart w:id="9" w:name="_Toc9"/>
      <w:r>
        <w:t>Radar</w:t>
      </w:r>
      <w:bookmarkEnd w:id="9"/>
    </w:p>
    <w:p>
      <w:r>
        <w:drawing>
          <wp:inline>
            <wp:extent cx="2286000" cy="1828800"/>
            <wp:docPr id="14" name="Chart14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/>
    <w:p>
      <w:pPr>
        <w:sectPr>
          <w:type w:val="continuous"/>
          <w:pgSz w:orient="portrait" w:w="11870" w:h="16787"/>
          <w:pgMar w:top="1440" w:right="1440" w:bottom="1440" w:left="1440" w:header="720" w:footer="720" w:gutter="0"/>
          <w:cols w:num="2" w:space="720"/>
        </w:sectPr>
      </w:pPr>
    </w:p>
    <w:p>
      <w:pPr>
        <w:pStyle w:val="Heading1"/>
      </w:pPr>
      <w:bookmarkStart w:id="10" w:name="_Toc10"/>
      <w:r>
        <w:t>3D charts</w:t>
      </w:r>
      <w:bookmarkEnd w:id="10"/>
    </w:p>
    <w:p>
      <w:pPr>
        <w:sectPr>
          <w:type w:val="continuous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11" w:name="_Toc11"/>
      <w:r>
        <w:t>Pie</w:t>
      </w:r>
      <w:bookmarkEnd w:id="11"/>
    </w:p>
    <w:p>
      <w:r>
        <w:drawing>
          <wp:inline>
            <wp:extent cx="1800000" cy="1440000"/>
            <wp:docPr id="15" name="Chart15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/>
    <w:p>
      <w:pPr>
        <w:pStyle w:val="Heading2"/>
      </w:pPr>
      <w:bookmarkStart w:id="12" w:name="_Toc12"/>
      <w:r>
        <w:t>Bar</w:t>
      </w:r>
      <w:bookmarkEnd w:id="12"/>
    </w:p>
    <w:p>
      <w:r>
        <w:drawing>
          <wp:inline>
            <wp:extent cx="1800000" cy="1440000"/>
            <wp:docPr id="16" name="Chart16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/>
    <w:p>
      <w:pPr>
        <w:pStyle w:val="Heading2"/>
      </w:pPr>
      <w:bookmarkStart w:id="13" w:name="_Toc13"/>
      <w:r>
        <w:t>Column</w:t>
      </w:r>
      <w:bookmarkEnd w:id="13"/>
    </w:p>
    <w:p>
      <w:r>
        <w:drawing>
          <wp:inline>
            <wp:extent cx="1800000" cy="1440000"/>
            <wp:docPr id="17" name="Chart17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/>
    <w:p>
      <w:pPr>
        <w:pStyle w:val="Heading2"/>
      </w:pPr>
      <w:bookmarkStart w:id="14" w:name="_Toc14"/>
      <w:r>
        <w:t>Line</w:t>
      </w:r>
      <w:bookmarkEnd w:id="14"/>
    </w:p>
    <w:p>
      <w:r>
        <w:drawing>
          <wp:inline>
            <wp:extent cx="1800000" cy="1440000"/>
            <wp:docPr id="18" name="Chart1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/>
    <w:p>
      <w:pPr>
        <w:pStyle w:val="Heading2"/>
      </w:pPr>
      <w:bookmarkStart w:id="15" w:name="_Toc15"/>
      <w:r>
        <w:t>Area</w:t>
      </w:r>
      <w:bookmarkEnd w:id="15"/>
    </w:p>
    <w:p>
      <w:r>
        <w:drawing>
          <wp:inline>
            <wp:extent cx="1800000" cy="1440000"/>
            <wp:docPr id="19" name="Chart1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/>
    <w:sectPr>
      <w:type w:val="continuous"/>
      <w:pgSz w:orient="portrait" w:w="11870" w:h="16787"/>
      <w:pgMar w:top="1440" w:right="1440" w:bottom="1440" w:left="1440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</w:rPr>
  </w:style>
  <w:style w:type="paragraph" w:styleId="Heading2">
    <w:link w:val="Heading2Char"/>
    <w:name w:val="heading 2"/>
    <w:basedOn w:val="Normal"/>
    <w:pPr>
      <w:keepNext w:val="1"/>
      <w:spacing w:before="240"/>
    </w:pPr>
    <w:rPr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chart" Target="charts/chart4.xml"/><Relationship Id="rId11" Type="http://schemas.openxmlformats.org/officeDocument/2006/relationships/chart" Target="charts/chart5.xml"/><Relationship Id="rId12" Type="http://schemas.openxmlformats.org/officeDocument/2006/relationships/chart" Target="charts/chart6.xml"/><Relationship Id="rId13" Type="http://schemas.openxmlformats.org/officeDocument/2006/relationships/chart" Target="charts/chart7.xml"/><Relationship Id="rId14" Type="http://schemas.openxmlformats.org/officeDocument/2006/relationships/chart" Target="charts/chart8.xml"/><Relationship Id="rId15" Type="http://schemas.openxmlformats.org/officeDocument/2006/relationships/chart" Target="charts/chart9.xml"/><Relationship Id="rId16" Type="http://schemas.openxmlformats.org/officeDocument/2006/relationships/chart" Target="charts/chart10.xml"/><Relationship Id="rId17" Type="http://schemas.openxmlformats.org/officeDocument/2006/relationships/chart" Target="charts/chart11.xml"/><Relationship Id="rId18" Type="http://schemas.openxmlformats.org/officeDocument/2006/relationships/chart" Target="charts/chart12.xml"/><Relationship Id="rId19" Type="http://schemas.openxmlformats.org/officeDocument/2006/relationships/chart" Target="charts/chart1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pieChart>
        <c:varyColors val="1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</c:pieChart>
    </c:plotArea>
  </c:chart>
  <c:spPr>
    <a:ln>
      <a:noFill/>
    </a:ln>
  </c:sp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3DChart>
        <c:varyColors val="0"/>
        <c:barDir val="bar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3DChart>
        <c:varyColors val="0"/>
        <c:barDir val="col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3DChart>
        <c:varyColors val="0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line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area3DChart>
        <c:varyColors val="0"/>
        <c:grouping val="standar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area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doughnutChart>
        <c:varyColors val="1"/>
        <c:holeSize val="75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</c:doughnutChart>
    </c:plotArea>
  </c:chart>
  <c:spPr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bar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col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Chart>
        <c:varyColors val="0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line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areaChart>
        <c:varyColors val="0"/>
        <c:grouping val="standar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area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scatterChart>
        <c:varyColors val="0"/>
        <c:scatterStyle val="marker"/>
        <c:ser>
          <c:idx val="0"/>
          <c:order val="0"/>
          <c:spPr>
            <a:ln>
              <a:noFill/>
            </a:ln>
          </c:spPr>
          <c:xVal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yVal>
        </c:ser>
        <c:ser>
          <c:idx val="1"/>
          <c:order val="1"/>
          <c:spPr>
            <a:ln>
              <a:noFill/>
            </a:ln>
          </c:spPr>
          <c:xVal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yVal>
        </c:ser>
        <c:axId val="1"/>
        <c:axId val="2"/>
      </c:scatte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radarChart>
        <c:varyColors val="0"/>
        <c:radarStyle val="standar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rad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pie3DChart>
        <c:varyColors val="1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</c:pie3DChart>
    </c:plotArea>
  </c:chart>
  <c:spPr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2025-08-23T09:42:10+00:00</dcterms:created>
  <dcterms:modified xsi:type="dcterms:W3CDTF">2025-08-23T09:42:10+00:00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